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585D3" w14:textId="77777777" w:rsidR="004E23DE" w:rsidRDefault="004E23DE" w:rsidP="004E23DE">
      <w:pPr>
        <w:jc w:val="right"/>
        <w:rPr>
          <w:rFonts w:ascii="Lato" w:hAnsi="Lato"/>
          <w:b/>
          <w:bCs/>
          <w:sz w:val="20"/>
          <w:szCs w:val="20"/>
        </w:rPr>
      </w:pPr>
      <w:r w:rsidRPr="004E23DE">
        <w:rPr>
          <w:rFonts w:ascii="Lato" w:hAnsi="Lato"/>
          <w:b/>
          <w:bCs/>
          <w:sz w:val="20"/>
          <w:szCs w:val="20"/>
        </w:rPr>
        <w:t>Warszawa, 28 kwietnia 2026 r.</w:t>
      </w:r>
    </w:p>
    <w:p w14:paraId="6CDA88D2" w14:textId="0A32EB19" w:rsidR="00F2189B" w:rsidRPr="004E23DE" w:rsidRDefault="007E43DE" w:rsidP="004E23DE">
      <w:pPr>
        <w:jc w:val="right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E71C831" wp14:editId="6DF8BD16">
            <wp:simplePos x="0" y="0"/>
            <wp:positionH relativeFrom="column">
              <wp:posOffset>929005</wp:posOffset>
            </wp:positionH>
            <wp:positionV relativeFrom="paragraph">
              <wp:posOffset>12065</wp:posOffset>
            </wp:positionV>
            <wp:extent cx="4218305" cy="2207260"/>
            <wp:effectExtent l="0" t="0" r="0" b="254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305" cy="220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3E6310" w14:textId="6F4DC8E4" w:rsidR="004E23DE" w:rsidRPr="004E23DE" w:rsidRDefault="004E23DE" w:rsidP="004E23DE">
      <w:pPr>
        <w:jc w:val="center"/>
        <w:rPr>
          <w:rFonts w:ascii="Lato" w:hAnsi="Lato"/>
          <w:sz w:val="20"/>
          <w:szCs w:val="20"/>
        </w:rPr>
      </w:pPr>
      <w:r w:rsidRPr="004E23DE">
        <w:rPr>
          <w:rFonts w:ascii="Lato" w:hAnsi="Lato"/>
          <w:b/>
          <w:bCs/>
          <w:sz w:val="20"/>
          <w:szCs w:val="20"/>
        </w:rPr>
        <w:t>INFORMACJA PRASOWA</w:t>
      </w:r>
    </w:p>
    <w:p w14:paraId="406B23FF" w14:textId="3BBCCC83" w:rsidR="004E23DE" w:rsidRPr="004E23DE" w:rsidRDefault="004E23DE" w:rsidP="004E23DE">
      <w:pPr>
        <w:jc w:val="both"/>
        <w:rPr>
          <w:rFonts w:ascii="Lato" w:hAnsi="Lato"/>
          <w:b/>
          <w:bCs/>
          <w:sz w:val="20"/>
          <w:szCs w:val="20"/>
        </w:rPr>
      </w:pPr>
      <w:r w:rsidRPr="004E23DE">
        <w:rPr>
          <w:rFonts w:ascii="Lato" w:hAnsi="Lato"/>
          <w:b/>
          <w:bCs/>
          <w:sz w:val="20"/>
          <w:szCs w:val="20"/>
        </w:rPr>
        <w:t>„Jak tam w pracy?” – zdrowe środowisko psychospołeczne kluczowym tematem Światowego Dnia Bezpieczeństwa i Ochrony Zdrowia w Pracy</w:t>
      </w:r>
      <w:r w:rsidRPr="004E23DE">
        <w:rPr>
          <w:rFonts w:ascii="Lato" w:hAnsi="Lato"/>
          <w:b/>
          <w:bCs/>
          <w:sz w:val="20"/>
          <w:szCs w:val="20"/>
        </w:rPr>
        <w:t xml:space="preserve"> </w:t>
      </w:r>
      <w:r w:rsidRPr="004E23DE">
        <w:rPr>
          <w:rFonts w:ascii="Lato" w:hAnsi="Lato"/>
          <w:b/>
          <w:bCs/>
          <w:sz w:val="20"/>
          <w:szCs w:val="20"/>
        </w:rPr>
        <w:t>2026</w:t>
      </w:r>
    </w:p>
    <w:p w14:paraId="6950B68A" w14:textId="31353DF7" w:rsidR="004E23DE" w:rsidRPr="004E23DE" w:rsidRDefault="004E23DE" w:rsidP="004E23DE">
      <w:pPr>
        <w:jc w:val="both"/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>Tegoroczne obchody Światowego Dnia Bezpieczeństwa i Ochrony Zdrowia w Pracy, organizowane pod auspicjami Międzynarodowej Organizacji Pracy (ILO), koncentrują się na jednym z najważniejszych wyzwań współczesnego rynku pracy</w:t>
      </w:r>
      <w:r w:rsidRPr="004E23DE">
        <w:rPr>
          <w:rFonts w:ascii="Lato" w:hAnsi="Lato"/>
          <w:sz w:val="20"/>
          <w:szCs w:val="20"/>
        </w:rPr>
        <w:t>:</w:t>
      </w:r>
      <w:r w:rsidRPr="004E23DE">
        <w:rPr>
          <w:rFonts w:ascii="Lato" w:hAnsi="Lato"/>
          <w:sz w:val="20"/>
          <w:szCs w:val="20"/>
        </w:rPr>
        <w:t xml:space="preserve"> zagrożeniach psychospołecznych. Hasło kampanii: </w:t>
      </w:r>
      <w:r w:rsidRPr="004E23DE">
        <w:rPr>
          <w:rFonts w:ascii="Lato" w:hAnsi="Lato"/>
          <w:b/>
          <w:bCs/>
          <w:sz w:val="20"/>
          <w:szCs w:val="20"/>
        </w:rPr>
        <w:t>„Jak tam w pracy? Zdrowe środowisko psychospołeczne to podstawa”</w:t>
      </w:r>
      <w:r w:rsidRPr="004E23DE">
        <w:rPr>
          <w:rFonts w:ascii="Lato" w:hAnsi="Lato"/>
          <w:sz w:val="20"/>
          <w:szCs w:val="20"/>
        </w:rPr>
        <w:t xml:space="preserve"> zachęca do refleksji nad kondycją psychiczną pracowników i jakością środowiska pracy.</w:t>
      </w:r>
    </w:p>
    <w:p w14:paraId="5877C238" w14:textId="77777777" w:rsidR="004E23DE" w:rsidRPr="004E23DE" w:rsidRDefault="004E23DE" w:rsidP="004E23DE">
      <w:pPr>
        <w:jc w:val="both"/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>Data 28 kwietnia to nie tylko okazja do promowania bezpiecznych i zdrowych warunków pracy, ale także moment upamiętnienia ofiar wypadków przy pracy i chorób zawodowych. W 2026 roku szczególny nacisk położono na czynniki psychospołeczne, które coraz silniej wpływają zarówno na zdrowie pracowników, jak i efektywność organizacji.</w:t>
      </w:r>
    </w:p>
    <w:p w14:paraId="0562C260" w14:textId="77777777" w:rsidR="004E23DE" w:rsidRPr="004E23DE" w:rsidRDefault="004E23DE" w:rsidP="004E23DE">
      <w:pPr>
        <w:rPr>
          <w:rFonts w:ascii="Lato" w:hAnsi="Lato"/>
          <w:b/>
          <w:bCs/>
          <w:sz w:val="20"/>
          <w:szCs w:val="20"/>
        </w:rPr>
      </w:pPr>
      <w:r w:rsidRPr="004E23DE">
        <w:rPr>
          <w:rFonts w:ascii="Lato" w:hAnsi="Lato"/>
          <w:b/>
          <w:bCs/>
          <w:sz w:val="20"/>
          <w:szCs w:val="20"/>
        </w:rPr>
        <w:t>Rosnąca skala problemu</w:t>
      </w:r>
    </w:p>
    <w:p w14:paraId="38C7A329" w14:textId="6A412B23" w:rsidR="004E23DE" w:rsidRPr="004E23DE" w:rsidRDefault="004E23DE" w:rsidP="004E23DE">
      <w:pPr>
        <w:jc w:val="both"/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 xml:space="preserve">Z danych międzynarodowych wynika, że zagrożenia psychospołeczne są powiązane z ponad </w:t>
      </w:r>
      <w:r w:rsidRPr="004E23DE">
        <w:rPr>
          <w:rFonts w:ascii="Lato" w:hAnsi="Lato"/>
          <w:b/>
          <w:bCs/>
          <w:sz w:val="20"/>
          <w:szCs w:val="20"/>
        </w:rPr>
        <w:t>840 tys. zgonów rocznie</w:t>
      </w:r>
      <w:r w:rsidRPr="004E23DE">
        <w:rPr>
          <w:rFonts w:ascii="Lato" w:hAnsi="Lato"/>
          <w:sz w:val="20"/>
          <w:szCs w:val="20"/>
        </w:rPr>
        <w:t xml:space="preserve">, głównie w wyniku chorób układu krążenia i zaburzeń psychicznych. Ich </w:t>
      </w:r>
      <w:r w:rsidRPr="004E23DE">
        <w:rPr>
          <w:rFonts w:ascii="Lato" w:hAnsi="Lato"/>
          <w:sz w:val="20"/>
          <w:szCs w:val="20"/>
        </w:rPr>
        <w:t>k</w:t>
      </w:r>
      <w:r w:rsidRPr="004E23DE">
        <w:rPr>
          <w:rFonts w:ascii="Lato" w:hAnsi="Lato"/>
          <w:sz w:val="20"/>
          <w:szCs w:val="20"/>
        </w:rPr>
        <w:t>onsekwencje mają także wymiar ekonomiczny</w:t>
      </w:r>
      <w:r w:rsidRPr="004E23DE">
        <w:rPr>
          <w:rFonts w:ascii="Lato" w:hAnsi="Lato"/>
          <w:sz w:val="20"/>
          <w:szCs w:val="20"/>
        </w:rPr>
        <w:t xml:space="preserve">: </w:t>
      </w:r>
      <w:r w:rsidRPr="004E23DE">
        <w:rPr>
          <w:rFonts w:ascii="Lato" w:hAnsi="Lato"/>
          <w:sz w:val="20"/>
          <w:szCs w:val="20"/>
        </w:rPr>
        <w:t xml:space="preserve">globalne straty szacowane są na około </w:t>
      </w:r>
      <w:r w:rsidRPr="004E23DE">
        <w:rPr>
          <w:rFonts w:ascii="Lato" w:hAnsi="Lato"/>
          <w:b/>
          <w:bCs/>
          <w:sz w:val="20"/>
          <w:szCs w:val="20"/>
        </w:rPr>
        <w:t>1,37% PKB</w:t>
      </w:r>
      <w:r w:rsidRPr="004E23DE">
        <w:rPr>
          <w:rFonts w:ascii="Lato" w:hAnsi="Lato"/>
          <w:sz w:val="20"/>
          <w:szCs w:val="20"/>
        </w:rPr>
        <w:t>.</w:t>
      </w:r>
    </w:p>
    <w:p w14:paraId="5DCB1DE8" w14:textId="77777777" w:rsidR="004E23DE" w:rsidRPr="004E23DE" w:rsidRDefault="004E23DE" w:rsidP="004E23DE">
      <w:pPr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>Do najczęstszych czynników ryzyka należą:</w:t>
      </w:r>
    </w:p>
    <w:p w14:paraId="54472818" w14:textId="77777777" w:rsidR="004E23DE" w:rsidRPr="004E23DE" w:rsidRDefault="004E23DE" w:rsidP="004E23DE">
      <w:pPr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>przeciążenie pracą i nadmierne wymagania (35% pracowników pracuje ponad 48 godzin tygodniowo),</w:t>
      </w:r>
    </w:p>
    <w:p w14:paraId="48DA0041" w14:textId="77777777" w:rsidR="004E23DE" w:rsidRPr="004E23DE" w:rsidRDefault="004E23DE" w:rsidP="004E23DE">
      <w:pPr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>przemoc i nękanie w miejscu pracy (dotykające co czwartego pracownika),</w:t>
      </w:r>
    </w:p>
    <w:p w14:paraId="6E4887CA" w14:textId="77777777" w:rsidR="004E23DE" w:rsidRPr="004E23DE" w:rsidRDefault="004E23DE" w:rsidP="004E23DE">
      <w:pPr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>presja wyników i niepewność zatrudnienia,</w:t>
      </w:r>
    </w:p>
    <w:p w14:paraId="6F8E49D7" w14:textId="77777777" w:rsidR="004E23DE" w:rsidRPr="004E23DE" w:rsidRDefault="004E23DE" w:rsidP="004E23DE">
      <w:pPr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>dynamiczne zmiany technologiczne, w tym rozwój AI,</w:t>
      </w:r>
    </w:p>
    <w:p w14:paraId="40B3A7E1" w14:textId="77777777" w:rsidR="004E23DE" w:rsidRPr="004E23DE" w:rsidRDefault="004E23DE" w:rsidP="004E23DE">
      <w:pPr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>zacieranie granic między pracą a życiem prywatnym w modelach pracy zdalnej i hybrydowej.</w:t>
      </w:r>
    </w:p>
    <w:p w14:paraId="473C366F" w14:textId="77777777" w:rsidR="004E23DE" w:rsidRPr="004E23DE" w:rsidRDefault="004E23DE" w:rsidP="004E23DE">
      <w:pPr>
        <w:rPr>
          <w:rFonts w:ascii="Lato" w:hAnsi="Lato"/>
          <w:b/>
          <w:bCs/>
          <w:sz w:val="20"/>
          <w:szCs w:val="20"/>
        </w:rPr>
      </w:pPr>
      <w:r w:rsidRPr="004E23DE">
        <w:rPr>
          <w:rFonts w:ascii="Lato" w:hAnsi="Lato"/>
          <w:b/>
          <w:bCs/>
          <w:sz w:val="20"/>
          <w:szCs w:val="20"/>
        </w:rPr>
        <w:t>Czym jest środowisko psychospołeczne pracy?</w:t>
      </w:r>
    </w:p>
    <w:p w14:paraId="6C01160A" w14:textId="5C7AC998" w:rsidR="004E23DE" w:rsidRPr="004E23DE" w:rsidRDefault="004E23DE" w:rsidP="004E23DE">
      <w:pPr>
        <w:jc w:val="both"/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>Środowisko psychospołeczne to nie tylko atmosfera w zespole, lecz cały system organizacji pracy</w:t>
      </w:r>
      <w:r w:rsidRPr="004E23DE">
        <w:rPr>
          <w:rFonts w:ascii="Lato" w:hAnsi="Lato"/>
          <w:sz w:val="20"/>
          <w:szCs w:val="20"/>
        </w:rPr>
        <w:t xml:space="preserve">, </w:t>
      </w:r>
      <w:r w:rsidRPr="004E23DE">
        <w:rPr>
          <w:rFonts w:ascii="Lato" w:hAnsi="Lato"/>
          <w:sz w:val="20"/>
          <w:szCs w:val="20"/>
        </w:rPr>
        <w:t xml:space="preserve"> obejmujący sposób zarządzania, zakres obowiązków, relacje interpersonalne oraz poziom autonomii pracowników. Kluczowe znaczenie ma poczucie wpływu na wykonywaną pracę, jasność oczekiwań oraz dostęp do wsparcia.</w:t>
      </w:r>
    </w:p>
    <w:p w14:paraId="00B7760C" w14:textId="77777777" w:rsidR="004E23DE" w:rsidRPr="004E23DE" w:rsidRDefault="004E23DE" w:rsidP="004E23DE">
      <w:pPr>
        <w:rPr>
          <w:rFonts w:ascii="Lato" w:hAnsi="Lato"/>
          <w:b/>
          <w:bCs/>
          <w:sz w:val="20"/>
          <w:szCs w:val="20"/>
        </w:rPr>
      </w:pPr>
      <w:r w:rsidRPr="004E23DE">
        <w:rPr>
          <w:rFonts w:ascii="Lato" w:hAnsi="Lato"/>
          <w:b/>
          <w:bCs/>
          <w:sz w:val="20"/>
          <w:szCs w:val="20"/>
        </w:rPr>
        <w:lastRenderedPageBreak/>
        <w:t>Konsekwencje dla pracowników i organizacji</w:t>
      </w:r>
    </w:p>
    <w:p w14:paraId="193859F1" w14:textId="77777777" w:rsidR="004E23DE" w:rsidRPr="004E23DE" w:rsidRDefault="004E23DE" w:rsidP="004E23DE">
      <w:pPr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>Negatywne warunki psychospołeczne prowadzą do:</w:t>
      </w:r>
    </w:p>
    <w:p w14:paraId="21DF3324" w14:textId="77777777" w:rsidR="004E23DE" w:rsidRPr="004E23DE" w:rsidRDefault="004E23DE" w:rsidP="004E23DE">
      <w:pPr>
        <w:numPr>
          <w:ilvl w:val="0"/>
          <w:numId w:val="2"/>
        </w:numPr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>stresu i wypalenia zawodowego,</w:t>
      </w:r>
    </w:p>
    <w:p w14:paraId="0AB9C116" w14:textId="77777777" w:rsidR="004E23DE" w:rsidRPr="004E23DE" w:rsidRDefault="004E23DE" w:rsidP="004E23DE">
      <w:pPr>
        <w:numPr>
          <w:ilvl w:val="0"/>
          <w:numId w:val="2"/>
        </w:numPr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>pogorszenia zdrowia psychicznego i fizycznego,</w:t>
      </w:r>
    </w:p>
    <w:p w14:paraId="13313263" w14:textId="77777777" w:rsidR="004E23DE" w:rsidRPr="004E23DE" w:rsidRDefault="004E23DE" w:rsidP="004E23DE">
      <w:pPr>
        <w:numPr>
          <w:ilvl w:val="0"/>
          <w:numId w:val="2"/>
        </w:numPr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>wzrostu absencji i rotacji pracowników,</w:t>
      </w:r>
    </w:p>
    <w:p w14:paraId="6166C370" w14:textId="77777777" w:rsidR="004E23DE" w:rsidRPr="004E23DE" w:rsidRDefault="004E23DE" w:rsidP="004E23DE">
      <w:pPr>
        <w:numPr>
          <w:ilvl w:val="0"/>
          <w:numId w:val="2"/>
        </w:numPr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>spadku produktywności organizacji.</w:t>
      </w:r>
    </w:p>
    <w:p w14:paraId="3E647C1D" w14:textId="77777777" w:rsidR="004E23DE" w:rsidRPr="004E23DE" w:rsidRDefault="004E23DE" w:rsidP="004E23DE">
      <w:pPr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>Co istotne, problemy te rozwijają się często stopniowo i pozostają niezauważone do momentu wystąpienia poważnych skutków.</w:t>
      </w:r>
    </w:p>
    <w:p w14:paraId="2FFA2D38" w14:textId="77777777" w:rsidR="004E23DE" w:rsidRPr="004E23DE" w:rsidRDefault="004E23DE" w:rsidP="004E23DE">
      <w:pPr>
        <w:rPr>
          <w:rFonts w:ascii="Lato" w:hAnsi="Lato"/>
          <w:b/>
          <w:bCs/>
          <w:sz w:val="20"/>
          <w:szCs w:val="20"/>
        </w:rPr>
      </w:pPr>
      <w:r w:rsidRPr="004E23DE">
        <w:rPr>
          <w:rFonts w:ascii="Lato" w:hAnsi="Lato"/>
          <w:b/>
          <w:bCs/>
          <w:sz w:val="20"/>
          <w:szCs w:val="20"/>
        </w:rPr>
        <w:t>Profilaktyka systemowa kluczem do zmiany</w:t>
      </w:r>
    </w:p>
    <w:p w14:paraId="2BA5782A" w14:textId="77777777" w:rsidR="004E23DE" w:rsidRPr="004E23DE" w:rsidRDefault="004E23DE" w:rsidP="004E23DE">
      <w:pPr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 xml:space="preserve">Eksperci podkreślają, że skuteczne działania powinny koncentrować się na </w:t>
      </w:r>
      <w:r w:rsidRPr="004E23DE">
        <w:rPr>
          <w:rFonts w:ascii="Lato" w:hAnsi="Lato"/>
          <w:b/>
          <w:bCs/>
          <w:sz w:val="20"/>
          <w:szCs w:val="20"/>
        </w:rPr>
        <w:t>zmianie warunków pracy</w:t>
      </w:r>
      <w:r w:rsidRPr="004E23DE">
        <w:rPr>
          <w:rFonts w:ascii="Lato" w:hAnsi="Lato"/>
          <w:sz w:val="20"/>
          <w:szCs w:val="20"/>
        </w:rPr>
        <w:t>, a nie wyłącznie na wzmacnianiu odporności pracowników. Do najważniejszych rozwiązań należą:</w:t>
      </w:r>
    </w:p>
    <w:p w14:paraId="05FFAD4A" w14:textId="77777777" w:rsidR="004E23DE" w:rsidRPr="004E23DE" w:rsidRDefault="004E23DE" w:rsidP="004E23DE">
      <w:pPr>
        <w:numPr>
          <w:ilvl w:val="0"/>
          <w:numId w:val="3"/>
        </w:numPr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>racjonalne planowanie pracy i jasny podział ról,</w:t>
      </w:r>
    </w:p>
    <w:p w14:paraId="3CA7B50B" w14:textId="77777777" w:rsidR="004E23DE" w:rsidRPr="004E23DE" w:rsidRDefault="004E23DE" w:rsidP="004E23DE">
      <w:pPr>
        <w:numPr>
          <w:ilvl w:val="0"/>
          <w:numId w:val="3"/>
        </w:numPr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>wspierający styl zarządzania,</w:t>
      </w:r>
    </w:p>
    <w:p w14:paraId="08D93394" w14:textId="77777777" w:rsidR="004E23DE" w:rsidRPr="004E23DE" w:rsidRDefault="004E23DE" w:rsidP="004E23DE">
      <w:pPr>
        <w:numPr>
          <w:ilvl w:val="0"/>
          <w:numId w:val="3"/>
        </w:numPr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>dobra komunikacja i kultura organizacyjna,</w:t>
      </w:r>
    </w:p>
    <w:p w14:paraId="0F9C5A4F" w14:textId="77777777" w:rsidR="004E23DE" w:rsidRPr="004E23DE" w:rsidRDefault="004E23DE" w:rsidP="004E23DE">
      <w:pPr>
        <w:numPr>
          <w:ilvl w:val="0"/>
          <w:numId w:val="3"/>
        </w:numPr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>włączanie pracowników w procesy decyzyjne,</w:t>
      </w:r>
    </w:p>
    <w:p w14:paraId="7C413C3F" w14:textId="77777777" w:rsidR="004E23DE" w:rsidRPr="004E23DE" w:rsidRDefault="004E23DE" w:rsidP="004E23DE">
      <w:pPr>
        <w:numPr>
          <w:ilvl w:val="0"/>
          <w:numId w:val="3"/>
        </w:numPr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>regularne monitorowanie sytuacji w organizacji (np. poprzez ankiety czy analizę wskaźników HR).</w:t>
      </w:r>
    </w:p>
    <w:p w14:paraId="6DB13BE3" w14:textId="77777777" w:rsidR="004E23DE" w:rsidRPr="004E23DE" w:rsidRDefault="004E23DE" w:rsidP="004E23DE">
      <w:pPr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>Istotną rolę odgrywają menedżerowie, którzy powinni być przygotowani do rozpoznawania zagrożeń psychospołecznych i adekwatnego reagowania.</w:t>
      </w:r>
    </w:p>
    <w:p w14:paraId="43536F2C" w14:textId="77777777" w:rsidR="004E23DE" w:rsidRPr="004E23DE" w:rsidRDefault="004E23DE" w:rsidP="004E23DE">
      <w:pPr>
        <w:rPr>
          <w:rFonts w:ascii="Lato" w:hAnsi="Lato"/>
          <w:b/>
          <w:bCs/>
          <w:sz w:val="20"/>
          <w:szCs w:val="20"/>
        </w:rPr>
      </w:pPr>
      <w:r w:rsidRPr="004E23DE">
        <w:rPr>
          <w:rFonts w:ascii="Lato" w:hAnsi="Lato"/>
          <w:b/>
          <w:bCs/>
          <w:sz w:val="20"/>
          <w:szCs w:val="20"/>
        </w:rPr>
        <w:t>Pytanie, które otwiera dialog</w:t>
      </w:r>
    </w:p>
    <w:p w14:paraId="72DCC0A0" w14:textId="77777777" w:rsidR="004E23DE" w:rsidRPr="004E23DE" w:rsidRDefault="004E23DE" w:rsidP="004E23DE">
      <w:pPr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>Hasło kampanii – „Jak tam w pracy?” – to nie tylko grzecznościowa formuła. To punkt wyjścia do rozmowy o realnych wyzwaniach, potrzebach i oczekiwaniach pracowników.</w:t>
      </w:r>
    </w:p>
    <w:p w14:paraId="19D6AB92" w14:textId="1912EBB1" w:rsidR="004E23DE" w:rsidRPr="004E23DE" w:rsidRDefault="004E23DE" w:rsidP="004E23DE">
      <w:pPr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 xml:space="preserve">Jak podkreślają eksperci, </w:t>
      </w:r>
      <w:r w:rsidRPr="004E23DE">
        <w:rPr>
          <w:rFonts w:ascii="Lato" w:hAnsi="Lato"/>
          <w:b/>
          <w:bCs/>
          <w:sz w:val="20"/>
          <w:szCs w:val="20"/>
        </w:rPr>
        <w:t>zdrowe środowisko psychospołeczne nie jest przywilejem, lecz fundamentem bezpiecznej i efektywnej pracy</w:t>
      </w:r>
      <w:r w:rsidRPr="004E23DE">
        <w:rPr>
          <w:rFonts w:ascii="Lato" w:hAnsi="Lato"/>
          <w:sz w:val="20"/>
          <w:szCs w:val="20"/>
        </w:rPr>
        <w:t>, a także warunkiem odpowiedzialnego rozwoju organizacji.</w:t>
      </w:r>
    </w:p>
    <w:p w14:paraId="5B80B3D0" w14:textId="77777777" w:rsidR="004E23DE" w:rsidRPr="004E23DE" w:rsidRDefault="004E23DE" w:rsidP="004E23DE">
      <w:pPr>
        <w:rPr>
          <w:rFonts w:ascii="Lato" w:hAnsi="Lato"/>
          <w:b/>
          <w:bCs/>
          <w:sz w:val="20"/>
          <w:szCs w:val="20"/>
        </w:rPr>
      </w:pPr>
      <w:r w:rsidRPr="004E23DE">
        <w:rPr>
          <w:rFonts w:ascii="Lato" w:hAnsi="Lato"/>
          <w:b/>
          <w:bCs/>
          <w:sz w:val="20"/>
          <w:szCs w:val="20"/>
        </w:rPr>
        <w:t>Więcej informacji</w:t>
      </w:r>
    </w:p>
    <w:p w14:paraId="737F201B" w14:textId="77777777" w:rsidR="004E23DE" w:rsidRPr="004E23DE" w:rsidRDefault="004E23DE" w:rsidP="004E23DE">
      <w:pPr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 xml:space="preserve">Szczegóły dotyczące obchodów Światowego Dnia BHP 2026 dostępne są na stronie: </w:t>
      </w:r>
      <w:hyperlink r:id="rId6" w:history="1">
        <w:r w:rsidRPr="004E23DE">
          <w:rPr>
            <w:rStyle w:val="Hipercze"/>
            <w:rFonts w:ascii="Lato" w:hAnsi="Lato"/>
            <w:b/>
            <w:bCs/>
            <w:sz w:val="20"/>
            <w:szCs w:val="20"/>
          </w:rPr>
          <w:t>www.ciop.pl/28kwietnia</w:t>
        </w:r>
      </w:hyperlink>
      <w:r w:rsidRPr="004E23DE">
        <w:rPr>
          <w:rFonts w:ascii="Lato" w:hAnsi="Lato"/>
          <w:sz w:val="20"/>
          <w:szCs w:val="20"/>
        </w:rPr>
        <w:t>.</w:t>
      </w:r>
    </w:p>
    <w:p w14:paraId="04AA4F2C" w14:textId="29AE4A08" w:rsidR="004E23DE" w:rsidRPr="004E23DE" w:rsidRDefault="004E23DE" w:rsidP="004E23DE">
      <w:pPr>
        <w:spacing w:after="0"/>
        <w:rPr>
          <w:rFonts w:ascii="Lato" w:hAnsi="Lato"/>
          <w:sz w:val="20"/>
          <w:szCs w:val="20"/>
        </w:rPr>
      </w:pPr>
      <w:r w:rsidRPr="004E23DE">
        <w:rPr>
          <w:rFonts w:ascii="Lato" w:hAnsi="Lato"/>
          <w:b/>
          <w:bCs/>
          <w:sz w:val="20"/>
          <w:szCs w:val="20"/>
        </w:rPr>
        <w:t>Kontakt dla mediów:</w:t>
      </w:r>
      <w:r w:rsidRPr="004E23DE">
        <w:rPr>
          <w:rFonts w:ascii="Lato" w:hAnsi="Lato"/>
          <w:sz w:val="20"/>
          <w:szCs w:val="20"/>
        </w:rPr>
        <w:br/>
        <w:t>Dorota Pięta</w:t>
      </w:r>
      <w:r w:rsidRPr="004E23DE">
        <w:rPr>
          <w:rFonts w:ascii="Lato" w:hAnsi="Lato"/>
          <w:sz w:val="20"/>
          <w:szCs w:val="20"/>
        </w:rPr>
        <w:t xml:space="preserve">, </w:t>
      </w:r>
      <w:r w:rsidRPr="004E23DE">
        <w:rPr>
          <w:rFonts w:ascii="Lato" w:hAnsi="Lato"/>
          <w:sz w:val="20"/>
          <w:szCs w:val="20"/>
        </w:rPr>
        <w:t xml:space="preserve">e-mail: </w:t>
      </w:r>
      <w:hyperlink r:id="rId7" w:history="1">
        <w:r w:rsidRPr="004E23DE">
          <w:rPr>
            <w:rStyle w:val="Hipercze"/>
            <w:rFonts w:ascii="Lato" w:hAnsi="Lato"/>
            <w:sz w:val="20"/>
            <w:szCs w:val="20"/>
          </w:rPr>
          <w:t>dorota.pieta@ciop.pl</w:t>
        </w:r>
      </w:hyperlink>
    </w:p>
    <w:p w14:paraId="1F4FA08A" w14:textId="62D43FEE" w:rsidR="004E23DE" w:rsidRPr="004E23DE" w:rsidRDefault="004E23DE" w:rsidP="004E23DE">
      <w:pPr>
        <w:spacing w:after="0"/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 xml:space="preserve">Wioleta Klimaszewska, e-mail: </w:t>
      </w:r>
      <w:hyperlink r:id="rId8" w:history="1">
        <w:r w:rsidRPr="001F1E3F">
          <w:rPr>
            <w:rStyle w:val="Hipercze"/>
            <w:rFonts w:ascii="Lato" w:hAnsi="Lato"/>
            <w:sz w:val="20"/>
            <w:szCs w:val="20"/>
          </w:rPr>
          <w:t>wioleta.klimaszewska@ciop.pl</w:t>
        </w:r>
      </w:hyperlink>
      <w:r>
        <w:rPr>
          <w:rFonts w:ascii="Lato" w:hAnsi="Lato"/>
          <w:sz w:val="20"/>
          <w:szCs w:val="20"/>
        </w:rPr>
        <w:t xml:space="preserve"> </w:t>
      </w:r>
    </w:p>
    <w:p w14:paraId="3E4C21AF" w14:textId="77777777" w:rsidR="004E23DE" w:rsidRDefault="004E23DE" w:rsidP="004E23DE">
      <w:pPr>
        <w:spacing w:after="0"/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t>Centralny Instytut Ochrony Pracy – Państwowy Instytut Badawczy</w:t>
      </w:r>
      <w:r>
        <w:rPr>
          <w:rFonts w:ascii="Lato" w:hAnsi="Lato"/>
          <w:sz w:val="20"/>
          <w:szCs w:val="20"/>
        </w:rPr>
        <w:t xml:space="preserve">, ul. Czerniakowska 16, Warszawa </w:t>
      </w:r>
    </w:p>
    <w:p w14:paraId="02B0BF45" w14:textId="77777777" w:rsidR="004E23DE" w:rsidRDefault="004E23DE" w:rsidP="004E23DE">
      <w:pPr>
        <w:spacing w:after="0"/>
        <w:rPr>
          <w:rFonts w:ascii="Lato" w:hAnsi="Lato"/>
          <w:sz w:val="20"/>
          <w:szCs w:val="20"/>
        </w:rPr>
      </w:pPr>
    </w:p>
    <w:p w14:paraId="5EED1E10" w14:textId="46B9C360" w:rsidR="004E23DE" w:rsidRPr="004E23DE" w:rsidRDefault="004E23DE" w:rsidP="004E23DE">
      <w:pPr>
        <w:spacing w:after="0"/>
        <w:rPr>
          <w:rFonts w:ascii="Lato" w:hAnsi="Lato"/>
          <w:sz w:val="20"/>
          <w:szCs w:val="20"/>
        </w:rPr>
      </w:pPr>
      <w:r w:rsidRPr="004E23DE">
        <w:rPr>
          <w:rFonts w:ascii="Lato" w:hAnsi="Lato"/>
          <w:sz w:val="20"/>
          <w:szCs w:val="20"/>
        </w:rPr>
        <w:br/>
      </w:r>
    </w:p>
    <w:sectPr w:rsidR="004E23DE" w:rsidRPr="004E23DE" w:rsidSect="007E43D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A6A92"/>
    <w:multiLevelType w:val="multilevel"/>
    <w:tmpl w:val="601E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83066"/>
    <w:multiLevelType w:val="multilevel"/>
    <w:tmpl w:val="0B46F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1123F"/>
    <w:multiLevelType w:val="multilevel"/>
    <w:tmpl w:val="785E2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3985380">
    <w:abstractNumId w:val="0"/>
  </w:num>
  <w:num w:numId="2" w16cid:durableId="803695267">
    <w:abstractNumId w:val="1"/>
  </w:num>
  <w:num w:numId="3" w16cid:durableId="1641223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DE"/>
    <w:rsid w:val="004E23DE"/>
    <w:rsid w:val="005E669E"/>
    <w:rsid w:val="007E43DE"/>
    <w:rsid w:val="0098519F"/>
    <w:rsid w:val="009C26D0"/>
    <w:rsid w:val="00B61985"/>
    <w:rsid w:val="00C117B0"/>
    <w:rsid w:val="00DA21BA"/>
    <w:rsid w:val="00F2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AD12D"/>
  <w15:chartTrackingRefBased/>
  <w15:docId w15:val="{CF1E9E27-4E82-4A0A-89C4-660021085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E23D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23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oleta.klimaszewska@cio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rota.pieta@cio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iop.pl/28kwietni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547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wioleta.klimaszewska</dc:creator>
  <cp:keywords/>
  <dc:description/>
  <cp:lastModifiedBy>wioleta.klimaszewska</cp:lastModifiedBy>
  <cp:revision>2</cp:revision>
  <dcterms:created xsi:type="dcterms:W3CDTF">2026-04-27T10:16:00Z</dcterms:created>
  <dcterms:modified xsi:type="dcterms:W3CDTF">2026-04-27T10:45:00Z</dcterms:modified>
</cp:coreProperties>
</file>